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F2B81">
        <w:trPr>
          <w:trHeight w:val="925"/>
        </w:trPr>
        <w:tc>
          <w:tcPr>
            <w:tcW w:w="9344" w:type="dxa"/>
          </w:tcPr>
          <w:p w:rsidR="00AC0BCD" w:rsidRDefault="00AC0BCD">
            <w:pPr>
              <w:pStyle w:val="EmptyCellLayoutStyle"/>
              <w:spacing w:after="0" w:line="240" w:lineRule="auto"/>
            </w:pPr>
          </w:p>
          <w:p w:rsidR="00AC0BCD" w:rsidRDefault="00AC0BCD" w:rsidP="00AC0BCD"/>
          <w:p w:rsidR="005F2B81" w:rsidRPr="00AC0BCD" w:rsidRDefault="005F2B81" w:rsidP="00AC0BCD">
            <w:pPr>
              <w:jc w:val="right"/>
            </w:pPr>
          </w:p>
        </w:tc>
      </w:tr>
      <w:tr w:rsidR="005F2B81">
        <w:trPr>
          <w:trHeight w:val="8608"/>
        </w:trPr>
        <w:tc>
          <w:tcPr>
            <w:tcW w:w="93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 w:rsidR="005F2B81">
              <w:trPr>
                <w:trHeight w:val="8530"/>
              </w:trPr>
              <w:tc>
                <w:tcPr>
                  <w:tcW w:w="93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2B81" w:rsidRDefault="007259C3" w:rsidP="00AC0BCD">
                  <w:pPr>
                    <w:spacing w:after="0" w:line="360" w:lineRule="auto"/>
                    <w:ind w:right="9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THÔNG BÁO</w:t>
                  </w:r>
                </w:p>
                <w:p w:rsidR="005F2B81" w:rsidRDefault="007259C3" w:rsidP="00AC0BCD">
                  <w:pPr>
                    <w:spacing w:after="0" w:line="36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V/v: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bố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thông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tin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kỳ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2024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cho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các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theo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phụ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lục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I do</w:t>
                  </w:r>
                  <w:r>
                    <w:rPr>
                      <w:i/>
                      <w:color w:val="000000"/>
                      <w:sz w:val="24"/>
                    </w:rPr>
                    <w:br/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Ngân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Hàng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Thương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Mại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Cổ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Phần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Bảo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Việt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phát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  <w:sz w:val="24"/>
                    </w:rPr>
                    <w:t>hành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 xml:space="preserve"> (“</w:t>
                  </w:r>
                  <w:proofErr w:type="spellStart"/>
                  <w:r>
                    <w:rPr>
                      <w:b/>
                      <w:i/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b/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i/>
                      <w:color w:val="000000"/>
                      <w:sz w:val="24"/>
                    </w:rPr>
                    <w:t>”)</w:t>
                  </w:r>
                </w:p>
                <w:p w:rsidR="005F2B81" w:rsidRDefault="005F2B81" w:rsidP="00AC0BCD">
                  <w:pPr>
                    <w:spacing w:after="0" w:line="360" w:lineRule="auto"/>
                    <w:jc w:val="center"/>
                  </w:pPr>
                </w:p>
                <w:p w:rsidR="005F2B81" w:rsidRDefault="007259C3" w:rsidP="00AC0BCD">
                  <w:pPr>
                    <w:spacing w:after="0" w:line="36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Kính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gửi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: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Người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Hữu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Phiếu</w:t>
                  </w:r>
                  <w:proofErr w:type="spellEnd"/>
                </w:p>
                <w:p w:rsidR="005F2B81" w:rsidRDefault="005F2B81" w:rsidP="00AC0BCD">
                  <w:pPr>
                    <w:spacing w:after="0" w:line="360" w:lineRule="auto"/>
                  </w:pPr>
                </w:p>
                <w:p w:rsidR="005F2B81" w:rsidRDefault="007259C3" w:rsidP="00AC0BCD">
                  <w:pPr>
                    <w:spacing w:after="0" w:line="360" w:lineRule="auto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Liên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quan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việc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tin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của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theo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tư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475B54">
                    <w:rPr>
                      <w:color w:val="000000"/>
                      <w:sz w:val="24"/>
                    </w:rPr>
                    <w:t xml:space="preserve">76/2024/TT-BTC </w:t>
                  </w:r>
                  <w:proofErr w:type="spellStart"/>
                  <w:r w:rsidR="00475B54">
                    <w:rPr>
                      <w:color w:val="000000"/>
                      <w:sz w:val="24"/>
                    </w:rPr>
                    <w:t>ngày</w:t>
                  </w:r>
                  <w:proofErr w:type="spellEnd"/>
                  <w:r w:rsidR="00475B54">
                    <w:rPr>
                      <w:color w:val="000000"/>
                      <w:sz w:val="24"/>
                    </w:rPr>
                    <w:t xml:space="preserve"> 06/11/2024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của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hướng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dẫn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chế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tin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theo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của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Nghị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153/2020/NĐ-CP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ngày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31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tháng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12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2020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của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phủ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định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về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chào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bán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giao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dịch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doanh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nghiệp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riêng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lẻ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thị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trường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trong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nước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chào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bán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doanh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nghiệp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thị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trường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quốc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tế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chúng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tôi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sẽ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gửi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ty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Cổ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phần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Chứng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khoán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Kỹ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Thương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(“</w:t>
                  </w:r>
                  <w:r w:rsidRPr="007259C3">
                    <w:rPr>
                      <w:b/>
                      <w:color w:val="000000"/>
                      <w:sz w:val="24"/>
                    </w:rPr>
                    <w:t>TCBS</w:t>
                  </w:r>
                  <w:r>
                    <w:rPr>
                      <w:color w:val="000000"/>
                      <w:sz w:val="24"/>
                    </w:rPr>
                    <w:t xml:space="preserve">”)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những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như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</w:t>
                  </w:r>
                  <w:proofErr w:type="spellEnd"/>
                  <w:r>
                    <w:rPr>
                      <w:color w:val="000000"/>
                      <w:sz w:val="24"/>
                    </w:rPr>
                    <w:t>:</w:t>
                  </w:r>
                </w:p>
                <w:p w:rsidR="005F2B81" w:rsidRDefault="005F2B81" w:rsidP="00AC0BCD">
                  <w:pPr>
                    <w:spacing w:after="0" w:line="360" w:lineRule="auto"/>
                    <w:jc w:val="both"/>
                  </w:pPr>
                </w:p>
                <w:p w:rsidR="005F2B81" w:rsidRDefault="007259C3" w:rsidP="00AC0BCD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20" w:hanging="360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năm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2024</w:t>
                  </w:r>
                  <w:r>
                    <w:rPr>
                      <w:i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đã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được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kiểm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toán</w:t>
                  </w:r>
                  <w:proofErr w:type="spellEnd"/>
                  <w:r>
                    <w:rPr>
                      <w:color w:val="000000"/>
                      <w:sz w:val="24"/>
                    </w:rPr>
                    <w:t>;</w:t>
                  </w:r>
                </w:p>
                <w:p w:rsidR="005F2B81" w:rsidRDefault="007259C3" w:rsidP="00AC0BCD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20" w:hanging="360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Tình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thanh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toán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gốc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lãi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>;</w:t>
                  </w:r>
                </w:p>
                <w:p w:rsidR="005F2B81" w:rsidRPr="007259C3" w:rsidRDefault="007259C3" w:rsidP="00AC0BCD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20" w:hanging="360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Tình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chính</w:t>
                  </w:r>
                  <w:proofErr w:type="spellEnd"/>
                  <w:r>
                    <w:rPr>
                      <w:color w:val="000000"/>
                      <w:sz w:val="24"/>
                    </w:rPr>
                    <w:t>;</w:t>
                  </w:r>
                </w:p>
                <w:p w:rsidR="007259C3" w:rsidRDefault="007259C3" w:rsidP="00AC0BCD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20" w:hanging="360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Tình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thực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hiện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cam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kết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với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Người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Hữu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>;</w:t>
                  </w:r>
                </w:p>
                <w:p w:rsidR="005F2B81" w:rsidRDefault="007259C3" w:rsidP="00AC0BCD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720" w:hanging="360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hình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sử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dụng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nguồn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vốn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từ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phát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hành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:rsidR="005F2B81" w:rsidRDefault="005F2B81" w:rsidP="00AC0BCD">
                  <w:pPr>
                    <w:spacing w:after="0" w:line="360" w:lineRule="auto"/>
                    <w:jc w:val="both"/>
                  </w:pPr>
                </w:p>
                <w:p w:rsidR="006679BC" w:rsidRDefault="006679BC" w:rsidP="00AC0BCD">
                  <w:pPr>
                    <w:spacing w:after="120" w:line="360" w:lineRule="auto"/>
                    <w:ind w:right="9"/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t>Quý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Người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Hữu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cầu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nghiên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cứu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liệu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này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lòng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theo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giấy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tờ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nhân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thân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hồ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chứng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minh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quyền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hữu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kê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khoản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đầu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tư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xác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nhận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dư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>…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được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cấp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trong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vòng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ngày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làm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việc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tính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ngày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đề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nghị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nghiên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cứu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liệu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đến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trụ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của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TCBS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Tầng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Tầng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28,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Tầng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29,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Tòa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nhà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Techcombank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119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Trần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Duy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Hưng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Phường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Trung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Hòa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Quận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Cầu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Giấy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Thành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phố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Nội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và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TCBS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sẽ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điều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kiện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cho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Người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Sở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Hữu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Trái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Phiếu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tiếp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cận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các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tài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liệu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trên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:rsidR="005F2B81" w:rsidRDefault="005F2B81" w:rsidP="00AC0BCD">
                  <w:pPr>
                    <w:spacing w:after="0" w:line="360" w:lineRule="auto"/>
                  </w:pPr>
                </w:p>
                <w:p w:rsidR="005F2B81" w:rsidRDefault="007259C3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  <w:sz w:val="24"/>
                    </w:rPr>
                    <w:t>Trân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trọng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thông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báo</w:t>
                  </w:r>
                  <w:proofErr w:type="spellEnd"/>
                  <w:r>
                    <w:rPr>
                      <w:color w:val="000000"/>
                      <w:sz w:val="24"/>
                    </w:rPr>
                    <w:t>!</w:t>
                  </w:r>
                </w:p>
                <w:p w:rsidR="005F2B81" w:rsidRDefault="007259C3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br/>
                  </w:r>
                </w:p>
                <w:p w:rsidR="005F2B81" w:rsidRDefault="005F2B81">
                  <w:pPr>
                    <w:spacing w:after="0" w:line="240" w:lineRule="auto"/>
                  </w:pPr>
                </w:p>
              </w:tc>
            </w:tr>
          </w:tbl>
          <w:p w:rsidR="005F2B81" w:rsidRDefault="005F2B81">
            <w:pPr>
              <w:spacing w:after="0" w:line="240" w:lineRule="auto"/>
            </w:pPr>
          </w:p>
        </w:tc>
      </w:tr>
      <w:tr w:rsidR="005F2B81">
        <w:trPr>
          <w:trHeight w:val="6330"/>
        </w:trPr>
        <w:tc>
          <w:tcPr>
            <w:tcW w:w="9344" w:type="dxa"/>
          </w:tcPr>
          <w:p w:rsidR="00AC0BCD" w:rsidRDefault="00AC0BCD" w:rsidP="007259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C0BCD" w:rsidRDefault="00AC0BCD" w:rsidP="007259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259C3" w:rsidRDefault="007259C3" w:rsidP="00AC0B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D49A3">
              <w:rPr>
                <w:b/>
                <w:sz w:val="24"/>
                <w:szCs w:val="24"/>
              </w:rPr>
              <w:t>PHỤ LỤC I</w:t>
            </w:r>
          </w:p>
          <w:p w:rsidR="00AC0BCD" w:rsidRPr="00BD49A3" w:rsidRDefault="00AC0BCD" w:rsidP="007259C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080" w:type="dxa"/>
              <w:tblLook w:val="04A0" w:firstRow="1" w:lastRow="0" w:firstColumn="1" w:lastColumn="0" w:noHBand="0" w:noVBand="1"/>
            </w:tblPr>
            <w:tblGrid>
              <w:gridCol w:w="670"/>
              <w:gridCol w:w="2650"/>
              <w:gridCol w:w="2160"/>
              <w:gridCol w:w="1890"/>
              <w:gridCol w:w="1710"/>
            </w:tblGrid>
            <w:tr w:rsidR="00532A8C" w:rsidRPr="00532A8C" w:rsidTr="00532A8C">
              <w:trPr>
                <w:trHeight w:val="948"/>
              </w:trPr>
              <w:tc>
                <w:tcPr>
                  <w:tcW w:w="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3D3D3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26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3D3D3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Tên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trái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phiếu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3D3D3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Mã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trái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phiếu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(HNX)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3D3D3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phát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hành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3D3D3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đáo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>hạn</w:t>
                  </w:r>
                  <w:proofErr w:type="spellEnd"/>
                  <w:r w:rsidRPr="00532A8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32A8C" w:rsidRPr="00532A8C" w:rsidTr="00532A8C">
              <w:trPr>
                <w:trHeight w:val="408"/>
              </w:trPr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BVCCL2229001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287CAD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</w:t>
                  </w:r>
                  <w:r>
                    <w:rPr>
                      <w:color w:val="000000"/>
                      <w:sz w:val="24"/>
                      <w:szCs w:val="24"/>
                    </w:rPr>
                    <w:t>12201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30/06/2022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30/06/2029</w:t>
                  </w:r>
                </w:p>
              </w:tc>
            </w:tr>
            <w:tr w:rsidR="00532A8C" w:rsidRPr="00532A8C" w:rsidTr="00532A8C">
              <w:trPr>
                <w:trHeight w:val="324"/>
              </w:trPr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BVCCL2229002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287CAD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</w:t>
                  </w:r>
                  <w:r>
                    <w:rPr>
                      <w:color w:val="000000"/>
                      <w:sz w:val="24"/>
                      <w:szCs w:val="24"/>
                    </w:rPr>
                    <w:t>12202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31/08/2022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31/08/2029</w:t>
                  </w:r>
                </w:p>
              </w:tc>
            </w:tr>
            <w:tr w:rsidR="00532A8C" w:rsidRPr="00532A8C" w:rsidTr="00532A8C">
              <w:trPr>
                <w:trHeight w:val="324"/>
              </w:trPr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BVCCL2431001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110EB2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BVC12401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28/06/2024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475B54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</w:t>
                  </w:r>
                  <w:r w:rsidR="00532A8C" w:rsidRPr="00532A8C">
                    <w:rPr>
                      <w:color w:val="000000"/>
                      <w:sz w:val="24"/>
                      <w:szCs w:val="24"/>
                    </w:rPr>
                    <w:t>/06/2031</w:t>
                  </w:r>
                </w:p>
              </w:tc>
            </w:tr>
            <w:tr w:rsidR="00532A8C" w:rsidRPr="00532A8C" w:rsidTr="00532A8C">
              <w:trPr>
                <w:trHeight w:val="324"/>
              </w:trPr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BVCCL2431002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110EB2" w:rsidP="00110EB2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BVC12402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23/08/2024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32A8C" w:rsidRPr="00532A8C" w:rsidRDefault="00532A8C" w:rsidP="00532A8C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32A8C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475B54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532A8C">
                    <w:rPr>
                      <w:color w:val="000000"/>
                      <w:sz w:val="24"/>
                      <w:szCs w:val="24"/>
                    </w:rPr>
                    <w:t>/08/2031</w:t>
                  </w:r>
                </w:p>
              </w:tc>
            </w:tr>
          </w:tbl>
          <w:p w:rsidR="007259C3" w:rsidRDefault="007259C3" w:rsidP="007259C3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:rsidR="005F2B81" w:rsidRDefault="005F2B81">
            <w:pPr>
              <w:pStyle w:val="EmptyCellLayoutStyle"/>
              <w:spacing w:after="0" w:line="240" w:lineRule="auto"/>
            </w:pPr>
          </w:p>
        </w:tc>
      </w:tr>
    </w:tbl>
    <w:p w:rsidR="005F2B81" w:rsidRDefault="005F2B81">
      <w:pPr>
        <w:spacing w:after="0" w:line="240" w:lineRule="auto"/>
      </w:pPr>
    </w:p>
    <w:sectPr w:rsidR="005F2B81" w:rsidSect="00AC0BCD">
      <w:pgSz w:w="12240" w:h="15840"/>
      <w:pgMar w:top="5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81"/>
    <w:rsid w:val="00110EB2"/>
    <w:rsid w:val="001708C3"/>
    <w:rsid w:val="00287CAD"/>
    <w:rsid w:val="002C3FA5"/>
    <w:rsid w:val="00475B54"/>
    <w:rsid w:val="00532A8C"/>
    <w:rsid w:val="005F2B81"/>
    <w:rsid w:val="005F4E49"/>
    <w:rsid w:val="00611339"/>
    <w:rsid w:val="006679BC"/>
    <w:rsid w:val="007259C3"/>
    <w:rsid w:val="00A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456F"/>
  <w15:docId w15:val="{1C99DB0F-E9D9-4C44-B8D7-3DA8FBF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Postweb_TTGL</dc:title>
  <dc:creator>My, Tran Thi (HO.VPQTHD.TKTH)</dc:creator>
  <dc:description/>
  <cp:lastModifiedBy>My, Tran Thi (HO.VPQTHD.TKTH)</cp:lastModifiedBy>
  <cp:revision>3</cp:revision>
  <dcterms:created xsi:type="dcterms:W3CDTF">2025-03-31T02:19:00Z</dcterms:created>
  <dcterms:modified xsi:type="dcterms:W3CDTF">2025-03-31T02:21:00Z</dcterms:modified>
</cp:coreProperties>
</file>